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rPr>
          <w:sz w:val="24"/>
        </w:rPr>
      </w:pPr>
      <w:bookmarkStart w:id="0" w:name="_Toc212266410"/>
      <w:bookmarkStart w:id="1" w:name="_Toc12290"/>
      <w:bookmarkStart w:id="2" w:name="_Toc453098777"/>
      <w:r>
        <w:rPr>
          <w:rFonts w:hint="eastAsia"/>
        </w:rPr>
        <w:t xml:space="preserve">第二部分  </w:t>
      </w:r>
      <w:bookmarkStart w:id="4" w:name="_GoBack"/>
      <w:r>
        <w:rPr>
          <w:rFonts w:hint="eastAsia"/>
        </w:rPr>
        <w:t>供应商须知</w:t>
      </w:r>
      <w:bookmarkEnd w:id="4"/>
      <w:bookmarkEnd w:id="0"/>
      <w:bookmarkEnd w:id="1"/>
      <w:bookmarkEnd w:id="2"/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rFonts w:hint="eastAsia"/>
          <w:b/>
          <w:sz w:val="24"/>
        </w:rPr>
        <w:t xml:space="preserve"> 供应商</w:t>
      </w:r>
    </w:p>
    <w:p>
      <w:pPr>
        <w:pStyle w:val="11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1、合格供应商的范围</w:t>
      </w:r>
    </w:p>
    <w:p>
      <w:pPr>
        <w:pStyle w:val="11"/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．1具有独立承担民事责任的能力；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．2具有良好的商业信誉和健全的财务会计制度；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．3具有履行合同所必需的设备和专业技术能力；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．4 有依法缴纳税收和社会保障资金的良好记录；</w:t>
      </w:r>
      <w:r>
        <w:rPr>
          <w:bCs/>
          <w:sz w:val="24"/>
        </w:rPr>
        <w:t xml:space="preserve"> 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</w:t>
      </w:r>
      <w:r>
        <w:rPr>
          <w:bCs/>
          <w:sz w:val="24"/>
        </w:rPr>
        <w:t>5</w:t>
      </w:r>
      <w:r>
        <w:rPr>
          <w:rFonts w:hint="eastAsia"/>
          <w:bCs/>
          <w:sz w:val="24"/>
        </w:rPr>
        <w:t xml:space="preserve"> 具备法律行政法规规定的其他条件；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完全满足招标文件的实质性要求；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</w:t>
      </w:r>
      <w:r>
        <w:rPr>
          <w:bCs/>
          <w:sz w:val="24"/>
        </w:rPr>
        <w:t>7</w:t>
      </w:r>
      <w:r>
        <w:rPr>
          <w:rFonts w:hint="eastAsia"/>
          <w:bCs/>
          <w:sz w:val="24"/>
        </w:rPr>
        <w:t>凡具备招标文件要求资格，有服务能力的供应商均可参加。</w:t>
      </w:r>
    </w:p>
    <w:p>
      <w:pPr>
        <w:pStyle w:val="11"/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 xml:space="preserve">   </w:t>
      </w:r>
    </w:p>
    <w:p>
      <w:pPr>
        <w:pStyle w:val="11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B</w:t>
      </w:r>
      <w:r>
        <w:rPr>
          <w:rFonts w:hint="eastAsia"/>
          <w:b/>
          <w:sz w:val="24"/>
        </w:rPr>
        <w:t xml:space="preserve"> 招标文件的说明</w:t>
      </w:r>
    </w:p>
    <w:p>
      <w:pPr>
        <w:pStyle w:val="11"/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．招标文件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．1招标文件由招标文件目录所列内容组成。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．2供应商应详细阅读招标文件的全部内容。不按招标文件的要求提供的投标文件和资料，可能导致投标被拒绝。</w:t>
      </w:r>
    </w:p>
    <w:p>
      <w:pPr>
        <w:pStyle w:val="11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．招标文件的澄清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2</w:t>
      </w:r>
      <w:r>
        <w:rPr>
          <w:rFonts w:hint="eastAsia"/>
          <w:sz w:val="24"/>
        </w:rPr>
        <w:t>．1供应商对招标文件如有疑点要求澄清，或认为有必要与采购人进行技术交流时，可在开标截止日期十五日前以书面、传真形式通知采购代理机构。采购代理机构视情况予以答复，如有必要，可将答复内容包括原提出的问题，分发给所有供应商。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．招标文件的修改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3</w:t>
      </w:r>
      <w:r>
        <w:rPr>
          <w:rFonts w:hint="eastAsia"/>
          <w:sz w:val="24"/>
        </w:rPr>
        <w:t>．1在投标截止日期前，采购代理机构均可对招标文件用补充文件的方式进行修改。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3</w:t>
      </w:r>
      <w:r>
        <w:rPr>
          <w:rFonts w:hint="eastAsia"/>
          <w:sz w:val="24"/>
        </w:rPr>
        <w:t>．2对招标文件的修改、补充，将以书面、传真的形式通知已领取招标文件的每一供应商。修改、补充内容将作为招标文件的组成部分，对采购人和所有供应商均具有约束力。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．3为使供应商有足够的时间按招标文件的修改、补充要求考虑修正投标文件，采购代理机构可酌情推迟投标的截止日期和开标日期，并将此变更通知上述每一供应商。</w:t>
      </w: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C</w:t>
      </w:r>
      <w:r>
        <w:rPr>
          <w:rFonts w:hint="eastAsia"/>
          <w:b/>
          <w:sz w:val="24"/>
        </w:rPr>
        <w:t xml:space="preserve">  投标文件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．投标文件计量单位和文字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．1投标文件中所使用的计量单位，除招标文件中有特殊要求外，均采用国家法定计量单位。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．2投标文件及供应商与采购代理机构之间与投标有关的来往通知、函件和文件均应使用中文。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．投标文件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．1</w:t>
      </w:r>
      <w:r>
        <w:rPr>
          <w:rFonts w:hint="eastAsia"/>
          <w:b/>
          <w:bCs/>
          <w:sz w:val="24"/>
        </w:rPr>
        <w:t>投标文件的组成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(1)投标函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(2)唱标一览表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(3)投标报价明细表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(4)产品说明（包括产品名称、品牌、规格型号、制造商、原产地、外观质量、技术指标、性能指标、主要技术参数说明、货物的使命寿命、国家及地方相关质量、验收标准及产品符合国家及地方质量、验收标准的情况等）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(5)产品合格证书及相关证书证件和检验检测报告等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(6)</w:t>
      </w:r>
      <w:r>
        <w:rPr>
          <w:rFonts w:hint="eastAsia"/>
          <w:bCs/>
          <w:sz w:val="24"/>
        </w:rPr>
        <w:t>所报货物的备品备件清单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(7)技术参数、技术规范偏离表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(8)供货安装、实施方案、优化设计方案、供货期或完工时限保证措施等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(9)售后服务承诺【包括：供货时间、安装调试完成时间，免费质保期及质保期内产品维护（维护、保养）上门服务响应时间、售后技术指导和服务承诺，超出质保期的产品维修（维护、保养）方式及服务响应时间、是否收费及收费标准，技术服务响应时间、质量保证措施及承诺，备品备件的供应、故障排除时限、联系人、联系电话等】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(10) 投标供应商2014年以来承接的类似项目业绩（若有需提供，提供类似项目业绩同时须提供该业绩的合同、验收报告、中标通知书、中标公告网站截图复印件）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 xml:space="preserve"> (1</w:t>
      </w:r>
      <w:r>
        <w:rPr>
          <w:bCs/>
          <w:color w:val="000000"/>
          <w:kern w:val="0"/>
          <w:sz w:val="24"/>
          <w:szCs w:val="24"/>
        </w:rPr>
        <w:t>1</w:t>
      </w:r>
      <w:r>
        <w:rPr>
          <w:rFonts w:hint="eastAsia"/>
          <w:bCs/>
          <w:color w:val="000000"/>
          <w:kern w:val="0"/>
          <w:sz w:val="24"/>
          <w:szCs w:val="24"/>
        </w:rPr>
        <w:t>)节能、环境标志产品投标清单报价表节能环境标志、产品投标清单并一同提供属于采购清单内产品的证明资料(如果供应商提供节能环保产品，须提供相关证明材料复印件)</w:t>
      </w:r>
      <w:r>
        <w:rPr>
          <w:sz w:val="24"/>
        </w:rPr>
        <w:t xml:space="preserve"> 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</w:t>
      </w:r>
      <w:r>
        <w:rPr>
          <w:sz w:val="24"/>
        </w:rPr>
        <w:t>2</w:t>
      </w:r>
      <w:r>
        <w:rPr>
          <w:rFonts w:hint="eastAsia"/>
          <w:sz w:val="24"/>
        </w:rPr>
        <w:t>）供应商简介及资质证明文件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：《营业执照》副本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：《税务登记证》副本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c：《组织机构代码证》副本（或由发证机关或公证处出具的证明）复印件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d： 供应商所投供水设备须具有省级以上（含省级）卫生部门核发的供水设备卫生许可批件复印件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e：供应商所投供水设备电气部分（配电箱、低压动力柜）获得中国质量认证中心出具的中国国家强制性产品3C认证复印件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f：参加采购活动前3年内在经营活动中没有重大违法记录的书面声明复印件</w:t>
      </w:r>
      <w:r>
        <w:rPr>
          <w:rFonts w:hint="eastAsia"/>
          <w:sz w:val="24"/>
        </w:rPr>
        <w:tab/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g：依法缴纳税收和社会保障资金的相关材料复印件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hAnsiTheme="minorEastAsia" w:cstheme="minorEastAsia"/>
          <w:b/>
          <w:sz w:val="24"/>
        </w:rPr>
        <w:t>3</w:t>
      </w:r>
      <w:r>
        <w:rPr>
          <w:rFonts w:hint="eastAsia" w:asciiTheme="minorEastAsia" w:hAnsiTheme="minorEastAsia" w:cstheme="minorEastAsia"/>
          <w:b/>
          <w:sz w:val="24"/>
        </w:rPr>
        <w:t>．投标内容填写说明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．1投标文件按本招标文件第五部分要求的统一格式填写。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．2投标报价表为开标仪式上唱标的内容，要求按格式填写，统一规范，不得自行增减内容。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．投标报价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b/>
          <w:sz w:val="24"/>
        </w:rPr>
        <w:t>.</w:t>
      </w:r>
      <w:r>
        <w:rPr>
          <w:rFonts w:hint="eastAsia" w:ascii="宋体" w:hAnsi="宋体"/>
          <w:sz w:val="24"/>
        </w:rPr>
        <w:t xml:space="preserve"> 1所有投标均以人民币报价，投标价格一次性报定，不能修改。</w:t>
      </w:r>
    </w:p>
    <w:p>
      <w:pPr>
        <w:pStyle w:val="11"/>
        <w:spacing w:line="360" w:lineRule="auto"/>
        <w:ind w:firstLine="48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．2各供应商按照招标文件的要求及招标文件提供的报价表进行报价，</w:t>
      </w:r>
      <w:r>
        <w:rPr>
          <w:rFonts w:hint="eastAsia"/>
          <w:b/>
          <w:sz w:val="24"/>
          <w:szCs w:val="24"/>
        </w:rPr>
        <w:t>报价含产品供货完毕后的全部费税价格，承担所有配件费用，其内容包括但不仅限于：货物、安装、配件、附件、备品备件、专用工具安装、调试、耗品、辅材、包装、运输、装卸、安装、调试、检测、验收、人员培训、售后服务、费用；在其他情况下，由于分项报价填报不完整、不清楚或存在其他任何失误，所导致的任何不利后果均应当由供应商自行承担。</w:t>
      </w:r>
    </w:p>
    <w:p>
      <w:pPr>
        <w:pStyle w:val="11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随机附件中的备品备件、易损件、专用工具价按该种类</w:t>
      </w:r>
      <w:r>
        <w:rPr>
          <w:sz w:val="24"/>
        </w:rPr>
        <w:t>/</w:t>
      </w:r>
      <w:r>
        <w:rPr>
          <w:rFonts w:hint="eastAsia"/>
          <w:sz w:val="24"/>
        </w:rPr>
        <w:t>或型号规格货物</w:t>
      </w:r>
      <w:r>
        <w:rPr>
          <w:sz w:val="24"/>
        </w:rPr>
        <w:t>/</w:t>
      </w:r>
      <w:r>
        <w:rPr>
          <w:rFonts w:hint="eastAsia"/>
          <w:sz w:val="24"/>
        </w:rPr>
        <w:t>设备台数的需要量以表列报，并计入货物</w:t>
      </w:r>
      <w:r>
        <w:rPr>
          <w:sz w:val="24"/>
        </w:rPr>
        <w:t>/</w:t>
      </w:r>
      <w:r>
        <w:rPr>
          <w:rFonts w:hint="eastAsia"/>
          <w:sz w:val="24"/>
        </w:rPr>
        <w:t>设备总价及投标总报价。</w:t>
      </w:r>
    </w:p>
    <w:p>
      <w:pPr>
        <w:pStyle w:val="11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招标文件要求投标人所报投标报价全面考虑招标文件明示、暗示的所有风险和责任、义务等的全部费用。投标报价应是招标范围内全部工作内容的价格体现。投标文件一经提交，则将被视为发包内容的全部费用已经包含在投标报价内。</w:t>
      </w:r>
    </w:p>
    <w:p>
      <w:pPr>
        <w:pStyle w:val="11"/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．投标文件的有效期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．1自开标日起</w:t>
      </w:r>
      <w:r>
        <w:rPr>
          <w:rFonts w:hint="eastAsia"/>
          <w:b/>
          <w:bCs/>
          <w:sz w:val="24"/>
        </w:rPr>
        <w:t>90</w:t>
      </w:r>
      <w:r>
        <w:rPr>
          <w:rFonts w:hint="eastAsia"/>
          <w:sz w:val="24"/>
        </w:rPr>
        <w:t>天内，投标文件应保持有效。有效期短于这个规定期限的投标，将被拒绝。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．2在特殊情况下，采购代理机构可与供应商协商延长投标书的有效期。这种要求和答复都应以书面、传真的形式进行。</w:t>
      </w:r>
    </w:p>
    <w:p>
      <w:pPr>
        <w:pStyle w:val="11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．投标文件的签署及规定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．1组成投标文件的各项资料均应遵守本条。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．2供应商应填写全称，同时加盖印章。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．3投标文件必须由全权代表签署。</w:t>
      </w:r>
    </w:p>
    <w:p>
      <w:pPr>
        <w:pStyle w:val="11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sz w:val="24"/>
          <w:szCs w:val="24"/>
        </w:rPr>
        <w:t>6．4 投标文件一式七份。其中正本一份，副本六份。如果副本与正本不符，以正本为准。</w:t>
      </w:r>
    </w:p>
    <w:p>
      <w:pPr>
        <w:pStyle w:val="11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</w:t>
      </w:r>
      <w:bookmarkStart w:id="3" w:name="OLE_LINK2"/>
      <w:r>
        <w:rPr>
          <w:rFonts w:hint="eastAsia"/>
          <w:b/>
          <w:sz w:val="24"/>
          <w:szCs w:val="24"/>
        </w:rPr>
        <w:t>5投标文件应采用A4纸，黑色字迹打印，须胶装成册，不得出现散页、重页、掉页现象，不得采用活页夹，并分别注明“正本”、“副本”字样。</w:t>
      </w:r>
      <w:bookmarkEnd w:id="3"/>
      <w:r>
        <w:rPr>
          <w:rFonts w:hint="eastAsia"/>
          <w:b/>
          <w:sz w:val="24"/>
          <w:szCs w:val="24"/>
        </w:rPr>
        <w:t>（副本可以用复印件，但封面不得用复印件，注明“副本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字样）如未按规定胶装，其投标文件按无效标处理。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．6投标文件不得涂改和增删，如有修改错漏处，必须由同一签署人签字或盖章。</w:t>
      </w:r>
    </w:p>
    <w:p>
      <w:pPr>
        <w:pStyle w:val="11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．7投标文件因字迹潦草或表达不清所引起的后果由供应商负责。</w:t>
      </w:r>
    </w:p>
    <w:p>
      <w:pPr>
        <w:pStyle w:val="1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hint="eastAsia"/>
          <w:b/>
          <w:sz w:val="24"/>
        </w:rPr>
        <w:t xml:space="preserve">  投标文件的递交</w:t>
      </w:r>
    </w:p>
    <w:p>
      <w:pPr>
        <w:pStyle w:val="11"/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．投标文件的密封及标记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1．1投标文件应按以下方法装袋密封；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1．2投标文件密封装袋，封口处应有全权代表的签章和供应商公章。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1．3如果供应商未按要求密封，造成对投标文件的误投和提前启封，责任由供应商自负。</w:t>
      </w:r>
    </w:p>
    <w:p>
      <w:pPr>
        <w:pStyle w:val="11"/>
        <w:spacing w:line="360" w:lineRule="auto"/>
        <w:ind w:firstLine="482" w:firstLineChars="200"/>
        <w:rPr>
          <w:b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．</w:t>
      </w:r>
      <w:r>
        <w:rPr>
          <w:rFonts w:hint="eastAsia"/>
          <w:b/>
          <w:sz w:val="24"/>
        </w:rPr>
        <w:t>投标截止时间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．1投标文件必须在投标截止时间前送达开标地点。 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．2在投标截止时间以后送达的投标文件</w:t>
      </w:r>
      <w:r>
        <w:rPr>
          <w:rFonts w:hint="eastAsia"/>
          <w:sz w:val="24"/>
          <w:lang w:eastAsia="zh-CN"/>
        </w:rPr>
        <w:t>，采购人拒绝接收</w:t>
      </w:r>
      <w:r>
        <w:rPr>
          <w:rFonts w:hint="eastAsia"/>
          <w:sz w:val="24"/>
        </w:rPr>
        <w:t>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tabs>
          <w:tab w:val="left" w:pos="720"/>
          <w:tab w:val="left" w:pos="900"/>
        </w:tabs>
        <w:adjustRightInd w:val="0"/>
        <w:snapToGrid w:val="0"/>
        <w:spacing w:line="360" w:lineRule="auto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47" w:right="1134" w:bottom="1247" w:left="144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  <w:szCs w:val="18"/>
      </w:rPr>
    </w:pPr>
  </w:p>
  <w:p>
    <w:pPr>
      <w:pStyle w:val="7"/>
      <w:pBdr>
        <w:top w:val="none" w:color="auto" w:sz="0" w:space="1"/>
      </w:pBdr>
      <w:jc w:val="center"/>
    </w:pPr>
    <w:r>
      <w:rPr>
        <w:rFonts w:hint="eastAsia"/>
      </w:rPr>
      <w:t>第</w:t>
    </w: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3</w:t>
    </w:r>
    <w:r>
      <w:fldChar w:fldCharType="end"/>
    </w:r>
    <w:r>
      <w:rPr>
        <w:rFonts w:hint="eastAsia"/>
      </w:rPr>
      <w:t>页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宋体" w:cs="仿宋_GB2312"/>
        <w:iCs/>
        <w:kern w:val="0"/>
        <w:szCs w:val="21"/>
      </w:rPr>
    </w:pPr>
    <w:r>
      <w:rPr>
        <w:rFonts w:hint="eastAsia" w:ascii="宋体" w:hAnsi="宋体"/>
        <w:szCs w:val="21"/>
        <w:shd w:val="clear" w:color="auto" w:fill="FFFFFF"/>
      </w:rPr>
      <w:t>北京大学首钢医院住院楼泵房设备采购及安装调试项目-</w:t>
    </w:r>
    <w:r>
      <w:rPr>
        <w:rFonts w:hint="eastAsia" w:ascii="宋体" w:hAnsi="宋体" w:cs="仿宋_GB2312"/>
        <w:iCs/>
        <w:kern w:val="0"/>
        <w:szCs w:val="21"/>
      </w:rPr>
      <w:t>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A"/>
    <w:rsid w:val="000D0719"/>
    <w:rsid w:val="002B1DDA"/>
    <w:rsid w:val="00495D73"/>
    <w:rsid w:val="008C17E4"/>
    <w:rsid w:val="00A53DC2"/>
    <w:rsid w:val="00A9338A"/>
    <w:rsid w:val="00C80333"/>
    <w:rsid w:val="00D41B0A"/>
    <w:rsid w:val="00DE6FB8"/>
    <w:rsid w:val="00FB0F54"/>
    <w:rsid w:val="1A9702BD"/>
    <w:rsid w:val="262A2015"/>
    <w:rsid w:val="400560FC"/>
    <w:rsid w:val="43526B69"/>
    <w:rsid w:val="472C0CDF"/>
    <w:rsid w:val="49E90074"/>
    <w:rsid w:val="68EA02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240" w:lineRule="atLeast"/>
      <w:jc w:val="center"/>
      <w:outlineLvl w:val="0"/>
    </w:pPr>
    <w:rPr>
      <w:rFonts w:ascii="宋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spacing w:before="260" w:after="260" w:line="415" w:lineRule="auto"/>
      <w:jc w:val="left"/>
      <w:outlineLvl w:val="2"/>
    </w:pPr>
    <w:rPr>
      <w:b/>
      <w:kern w:val="0"/>
      <w:sz w:val="32"/>
      <w:szCs w:val="20"/>
    </w:rPr>
  </w:style>
  <w:style w:type="character" w:default="1" w:styleId="14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3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9175"/>
      </w:tabs>
      <w:spacing w:line="720" w:lineRule="exact"/>
    </w:p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  <w:szCs w:val="20"/>
    </w:rPr>
  </w:style>
  <w:style w:type="paragraph" w:styleId="1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800" w:leftChars="400" w:hanging="400" w:hangingChars="400"/>
      <w:jc w:val="left"/>
    </w:pPr>
    <w:rPr>
      <w:rFonts w:ascii="Arial" w:hAnsi="Arial" w:eastAsia="DFKai-SB"/>
      <w:sz w:val="24"/>
      <w:shd w:val="pct20" w:color="auto" w:fill="auto"/>
      <w:lang w:eastAsia="zh-TW"/>
    </w:rPr>
  </w:style>
  <w:style w:type="paragraph" w:styleId="13">
    <w:name w:val="Normal (Web)"/>
    <w:basedOn w:val="1"/>
    <w:qFormat/>
    <w:uiPriority w:val="0"/>
    <w:pPr>
      <w:widowControl/>
      <w:spacing w:line="360" w:lineRule="atLeast"/>
      <w:jc w:val="left"/>
    </w:pPr>
    <w:rPr>
      <w:rFonts w:ascii="宋体" w:hAnsi="宋体"/>
      <w:kern w:val="0"/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CC0000"/>
      <w:u w:val="single"/>
    </w:rPr>
  </w:style>
  <w:style w:type="character" w:styleId="17">
    <w:name w:val="Emphasis"/>
    <w:basedOn w:val="14"/>
    <w:qFormat/>
    <w:uiPriority w:val="0"/>
  </w:style>
  <w:style w:type="character" w:styleId="18">
    <w:name w:val="Hyperlink"/>
    <w:basedOn w:val="14"/>
    <w:qFormat/>
    <w:uiPriority w:val="0"/>
    <w:rPr>
      <w:rFonts w:eastAsia="仿宋_GB2312"/>
      <w:color w:val="0000FF"/>
      <w:sz w:val="28"/>
      <w:szCs w:val="24"/>
      <w:u w:val="single"/>
    </w:rPr>
  </w:style>
  <w:style w:type="character" w:styleId="19">
    <w:name w:val="footnote reference"/>
    <w:qFormat/>
    <w:uiPriority w:val="0"/>
    <w:rPr>
      <w:vertAlign w:val="superscript"/>
    </w:rPr>
  </w:style>
  <w:style w:type="table" w:styleId="21">
    <w:name w:val="Table Grid"/>
    <w:basedOn w:val="20"/>
    <w:qFormat/>
    <w:uiPriority w:val="0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列出段落1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3">
    <w:name w:val="_Style 7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24">
    <w:name w:val="font61"/>
    <w:basedOn w:val="1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font4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6">
    <w:name w:val="列出段落1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7">
    <w:name w:val="列出段落2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28">
    <w:name w:val="中等深浅网格 1 - 强调文字颜色 21"/>
    <w:basedOn w:val="1"/>
    <w:qFormat/>
    <w:uiPriority w:val="0"/>
    <w:pPr>
      <w:spacing w:line="500" w:lineRule="exact"/>
      <w:ind w:firstLine="420" w:firstLineChars="200"/>
    </w:pPr>
    <w:rPr>
      <w:kern w:val="0"/>
    </w:rPr>
  </w:style>
  <w:style w:type="paragraph" w:customStyle="1" w:styleId="29">
    <w:name w:val="投标文件正文"/>
    <w:basedOn w:val="1"/>
    <w:qFormat/>
    <w:uiPriority w:val="0"/>
    <w:pPr>
      <w:spacing w:line="400" w:lineRule="exact"/>
      <w:ind w:firstLine="480" w:firstLineChars="200"/>
    </w:pPr>
    <w:rPr>
      <w:rFonts w:ascii="Arial" w:hAnsi="Arial"/>
      <w:sz w:val="24"/>
    </w:rPr>
  </w:style>
  <w:style w:type="paragraph" w:customStyle="1" w:styleId="30">
    <w:name w:val="中等深浅网格 1 - 着色 21"/>
    <w:basedOn w:val="1"/>
    <w:qFormat/>
    <w:uiPriority w:val="0"/>
    <w:pPr>
      <w:spacing w:line="500" w:lineRule="exact"/>
      <w:ind w:firstLine="420" w:firstLineChars="200"/>
    </w:pPr>
    <w:rPr>
      <w:kern w:val="0"/>
    </w:rPr>
  </w:style>
  <w:style w:type="character" w:customStyle="1" w:styleId="31">
    <w:name w:val="apple-converted-space"/>
    <w:basedOn w:val="14"/>
    <w:qFormat/>
    <w:uiPriority w:val="0"/>
  </w:style>
  <w:style w:type="character" w:customStyle="1" w:styleId="32">
    <w:name w:val="批注框文本 字符"/>
    <w:basedOn w:val="14"/>
    <w:link w:val="6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154AD-16AA-4849-9261-95FE1E52C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1922</Words>
  <Characters>10958</Characters>
  <Lines>91</Lines>
  <Paragraphs>25</Paragraphs>
  <ScaleCrop>false</ScaleCrop>
  <LinksUpToDate>false</LinksUpToDate>
  <CharactersWithSpaces>12855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宣教中心</cp:lastModifiedBy>
  <cp:lastPrinted>2018-08-15T01:12:00Z</cp:lastPrinted>
  <dcterms:modified xsi:type="dcterms:W3CDTF">2018-08-15T07:50:57Z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